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F4BC" w14:textId="77777777" w:rsidR="007A7345" w:rsidRDefault="00000000">
      <w:pPr>
        <w:widowControl/>
        <w:rPr>
          <w:rFonts w:ascii="Times New Roman" w:eastAsia="標楷體" w:hAnsi="Times New Roman"/>
          <w:bCs/>
          <w:color w:val="000000"/>
          <w:szCs w:val="24"/>
          <w:shd w:val="clear" w:color="auto" w:fill="FFFFFF"/>
          <w:lang w:eastAsia="zh-TW"/>
        </w:rPr>
      </w:pPr>
      <w:r>
        <w:rPr>
          <w:rFonts w:ascii="Times New Roman" w:eastAsia="標楷體" w:hAnsi="Times New Roman"/>
          <w:bCs/>
          <w:color w:val="000000"/>
          <w:szCs w:val="24"/>
          <w:shd w:val="clear" w:color="auto" w:fill="FFFFFF"/>
          <w:lang w:eastAsia="zh-TW"/>
        </w:rPr>
        <w:t>[</w:t>
      </w:r>
      <w:r>
        <w:rPr>
          <w:rFonts w:ascii="Times New Roman" w:eastAsia="標楷體" w:hAnsi="Times New Roman"/>
          <w:bCs/>
          <w:color w:val="000000"/>
          <w:szCs w:val="24"/>
          <w:shd w:val="clear" w:color="auto" w:fill="FFFFFF"/>
          <w:lang w:eastAsia="zh-TW"/>
        </w:rPr>
        <w:t>附件</w:t>
      </w:r>
      <w:r>
        <w:rPr>
          <w:rFonts w:ascii="Times New Roman" w:eastAsia="標楷體" w:hAnsi="Times New Roman"/>
          <w:bCs/>
          <w:color w:val="000000"/>
          <w:szCs w:val="24"/>
          <w:shd w:val="clear" w:color="auto" w:fill="FFFFFF"/>
          <w:lang w:eastAsia="zh-TW"/>
        </w:rPr>
        <w:t>]</w:t>
      </w:r>
    </w:p>
    <w:p w14:paraId="7CFCC615" w14:textId="77777777" w:rsidR="007A7345" w:rsidRDefault="00000000">
      <w:pPr>
        <w:widowControl/>
        <w:spacing w:line="360" w:lineRule="exact"/>
        <w:jc w:val="center"/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</w:pPr>
      <w:r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t>東海大學教師授課計劃表</w:t>
      </w:r>
      <w:r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br/>
        <w:t xml:space="preserve">Course Plan of </w:t>
      </w:r>
      <w:proofErr w:type="spellStart"/>
      <w:r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t>Tunghai</w:t>
      </w:r>
      <w:proofErr w:type="spellEnd"/>
      <w:r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t xml:space="preserve"> University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91"/>
        <w:gridCol w:w="165"/>
        <w:gridCol w:w="1346"/>
        <w:gridCol w:w="146"/>
        <w:gridCol w:w="574"/>
        <w:gridCol w:w="707"/>
        <w:gridCol w:w="232"/>
        <w:gridCol w:w="775"/>
        <w:gridCol w:w="674"/>
        <w:gridCol w:w="1260"/>
        <w:gridCol w:w="203"/>
        <w:gridCol w:w="304"/>
        <w:gridCol w:w="948"/>
        <w:gridCol w:w="12"/>
        <w:gridCol w:w="105"/>
        <w:gridCol w:w="1369"/>
      </w:tblGrid>
      <w:tr w:rsidR="007A7345" w14:paraId="4D8742A5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0227" w14:textId="77777777" w:rsidR="007A7345" w:rsidRDefault="00000000">
            <w:pPr>
              <w:widowControl/>
              <w:spacing w:before="18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一、課程基本資料 Course Information</w:t>
            </w:r>
          </w:p>
        </w:tc>
      </w:tr>
      <w:tr w:rsidR="007A7345" w14:paraId="274CF7B7" w14:textId="77777777">
        <w:tblPrEx>
          <w:tblCellMar>
            <w:top w:w="0" w:type="dxa"/>
            <w:bottom w:w="0" w:type="dxa"/>
          </w:tblCellMar>
        </w:tblPrEx>
        <w:tc>
          <w:tcPr>
            <w:tcW w:w="2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A1C9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開課系所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Department</w:t>
            </w:r>
          </w:p>
        </w:tc>
        <w:tc>
          <w:tcPr>
            <w:tcW w:w="7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80CD" w14:textId="77777777" w:rsidR="007A7345" w:rsidRDefault="00000000">
            <w:pPr>
              <w:widowControl/>
              <w:spacing w:line="360" w:lineRule="exact"/>
              <w:jc w:val="both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(日)音樂系</w:t>
            </w:r>
          </w:p>
        </w:tc>
      </w:tr>
      <w:tr w:rsidR="007A7345" w14:paraId="7993CA03" w14:textId="77777777">
        <w:tblPrEx>
          <w:tblCellMar>
            <w:top w:w="0" w:type="dxa"/>
            <w:bottom w:w="0" w:type="dxa"/>
          </w:tblCellMar>
        </w:tblPrEx>
        <w:tc>
          <w:tcPr>
            <w:tcW w:w="2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E6A5" w14:textId="77777777" w:rsidR="007A7345" w:rsidRDefault="00000000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課程名稱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Course Title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2680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中文 (Chinese)</w:t>
            </w:r>
          </w:p>
        </w:tc>
        <w:tc>
          <w:tcPr>
            <w:tcW w:w="4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DF2F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bCs/>
                <w:color w:val="333333"/>
                <w:kern w:val="0"/>
                <w:szCs w:val="24"/>
                <w:shd w:val="clear" w:color="auto" w:fill="FFFF00"/>
              </w:rPr>
              <w:t>課程名稱</w:t>
            </w:r>
          </w:p>
        </w:tc>
      </w:tr>
      <w:tr w:rsidR="007A7345" w14:paraId="603A8866" w14:textId="77777777">
        <w:tblPrEx>
          <w:tblCellMar>
            <w:top w:w="0" w:type="dxa"/>
            <w:bottom w:w="0" w:type="dxa"/>
          </w:tblCellMar>
        </w:tblPrEx>
        <w:tc>
          <w:tcPr>
            <w:tcW w:w="2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E148" w14:textId="77777777" w:rsidR="007A7345" w:rsidRDefault="007A734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5B4D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英文 (English)</w:t>
            </w:r>
          </w:p>
        </w:tc>
        <w:tc>
          <w:tcPr>
            <w:tcW w:w="4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7223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bCs/>
                <w:color w:val="333333"/>
                <w:kern w:val="0"/>
                <w:szCs w:val="24"/>
                <w:shd w:val="clear" w:color="auto" w:fill="FFFF00"/>
              </w:rPr>
              <w:t>Course Name</w:t>
            </w:r>
          </w:p>
        </w:tc>
      </w:tr>
      <w:tr w:rsidR="007A7345" w14:paraId="45137D2B" w14:textId="77777777">
        <w:tblPrEx>
          <w:tblCellMar>
            <w:top w:w="0" w:type="dxa"/>
            <w:bottom w:w="0" w:type="dxa"/>
          </w:tblCellMar>
        </w:tblPrEx>
        <w:tc>
          <w:tcPr>
            <w:tcW w:w="2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892C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必選修類別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Required/Elective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27D6" w14:textId="77777777" w:rsidR="007A7345" w:rsidRDefault="00000000">
            <w:pPr>
              <w:widowControl/>
              <w:spacing w:line="360" w:lineRule="exact"/>
              <w:jc w:val="both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shd w:val="clear" w:color="auto" w:fill="FFFF00"/>
              </w:rPr>
              <w:t>必修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2831" w14:textId="77777777" w:rsidR="007A7345" w:rsidRDefault="00000000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學分數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Credits</w:t>
            </w:r>
          </w:p>
        </w:tc>
        <w:tc>
          <w:tcPr>
            <w:tcW w:w="2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A569" w14:textId="77777777" w:rsidR="007A7345" w:rsidRDefault="00000000">
            <w:pPr>
              <w:widowControl/>
              <w:spacing w:line="360" w:lineRule="exact"/>
              <w:jc w:val="both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shd w:val="clear" w:color="auto" w:fill="FFFF00"/>
              </w:rPr>
              <w:t>2 - 2</w:t>
            </w:r>
          </w:p>
        </w:tc>
      </w:tr>
      <w:tr w:rsidR="007A7345" w14:paraId="52AAB3F5" w14:textId="77777777">
        <w:tblPrEx>
          <w:tblCellMar>
            <w:top w:w="0" w:type="dxa"/>
            <w:bottom w:w="0" w:type="dxa"/>
          </w:tblCellMar>
        </w:tblPrEx>
        <w:tc>
          <w:tcPr>
            <w:tcW w:w="4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B42A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課程概述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(系所共同性目標)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Course Description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650F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7A7345" w14:paraId="50738BB9" w14:textId="77777777">
        <w:tblPrEx>
          <w:tblCellMar>
            <w:top w:w="0" w:type="dxa"/>
            <w:bottom w:w="0" w:type="dxa"/>
          </w:tblCellMar>
        </w:tblPrEx>
        <w:tc>
          <w:tcPr>
            <w:tcW w:w="4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B117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本課程是否為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英語授課(Taught in English)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BF8F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A2B2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6705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1B49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7A7345" w14:paraId="2A659A02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07A1" w14:textId="77777777" w:rsidR="007A7345" w:rsidRDefault="00000000">
            <w:pPr>
              <w:widowControl/>
              <w:spacing w:before="18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二、教師相關資料 Instruction Information</w:t>
            </w:r>
          </w:p>
        </w:tc>
      </w:tr>
      <w:tr w:rsidR="007A7345" w14:paraId="4B1B5818" w14:textId="77777777">
        <w:tblPrEx>
          <w:tblCellMar>
            <w:top w:w="0" w:type="dxa"/>
            <w:bottom w:w="0" w:type="dxa"/>
          </w:tblCellMar>
        </w:tblPrEx>
        <w:tc>
          <w:tcPr>
            <w:tcW w:w="2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1592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授課教師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eastAsia="zh-TW"/>
              </w:rPr>
              <w:t>姓名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br/>
              <w:t>Instructor</w:t>
            </w:r>
          </w:p>
        </w:tc>
        <w:tc>
          <w:tcPr>
            <w:tcW w:w="73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4986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7A7345" w14:paraId="4414556B" w14:textId="77777777">
        <w:tblPrEx>
          <w:tblCellMar>
            <w:top w:w="0" w:type="dxa"/>
            <w:bottom w:w="0" w:type="dxa"/>
          </w:tblCellMar>
        </w:tblPrEx>
        <w:tc>
          <w:tcPr>
            <w:tcW w:w="2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7652" w14:textId="77777777" w:rsidR="007A7345" w:rsidRDefault="00000000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上課時間、地點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br/>
              <w:t>Class Time And Classroom</w:t>
            </w: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0D51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BB0F" w14:textId="77777777" w:rsidR="007A7345" w:rsidRDefault="00000000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晤談時間、地點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br/>
              <w:t>Office Hours And Classroom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1819" w14:textId="77777777" w:rsidR="007A7345" w:rsidRDefault="007A734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7A7345" w14:paraId="1E1B239D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B7A5" w14:textId="77777777" w:rsidR="007A7345" w:rsidRDefault="00000000">
            <w:pPr>
              <w:widowControl/>
              <w:spacing w:before="180" w:after="180" w:line="360" w:lineRule="exact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三、課程大綱 Syllabus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 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  <w:szCs w:val="24"/>
              </w:rPr>
              <w:t>(本課程大綱教師得依實際教學進度及學生學習情況進行調整)</w:t>
            </w:r>
          </w:p>
        </w:tc>
      </w:tr>
      <w:tr w:rsidR="007A7345" w14:paraId="22ABCD8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FC61" w14:textId="77777777" w:rsidR="007A7345" w:rsidRDefault="00000000">
            <w:pPr>
              <w:widowControl/>
              <w:spacing w:line="360" w:lineRule="exact"/>
            </w:pPr>
            <w:proofErr w:type="gram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課程目標及內涵</w:t>
            </w:r>
            <w:proofErr w:type="gramEnd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 (Course Objectives and Contents)</w:t>
            </w:r>
          </w:p>
        </w:tc>
      </w:tr>
      <w:tr w:rsidR="007A7345" w14:paraId="0E402C2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DDE0" w14:textId="77777777" w:rsidR="007A7345" w:rsidRDefault="00000000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課程目標</w:t>
            </w:r>
            <w:proofErr w:type="gramEnd"/>
          </w:p>
          <w:p w14:paraId="4707B88F" w14:textId="77777777" w:rsidR="007A7345" w:rsidRDefault="007A734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7A7345" w14:paraId="0455E9E5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A4B7" w14:textId="77777777" w:rsidR="007A7345" w:rsidRDefault="00000000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多元教學方式</w:t>
            </w:r>
            <w:proofErr w:type="gramEnd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 (</w:t>
            </w:r>
            <w:proofErr w:type="spell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Muliti</w:t>
            </w:r>
            <w:proofErr w:type="spellEnd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-Teaching Methods)</w:t>
            </w:r>
          </w:p>
          <w:p w14:paraId="1ABDE470" w14:textId="77777777" w:rsidR="007A7345" w:rsidRDefault="00000000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說明：除了課堂講授與考試測驗之外，本課程在學期中可能會運用到以下哪些教學方式，以期能進一步提升學生學習成效</w:t>
            </w:r>
          </w:p>
          <w:p w14:paraId="01F15C02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小組討論</w:t>
            </w:r>
          </w:p>
          <w:p w14:paraId="23635880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邀請其他來賓進行專題演講</w:t>
            </w:r>
          </w:p>
          <w:p w14:paraId="3546DA94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機構或企業參訪</w:t>
            </w:r>
          </w:p>
          <w:p w14:paraId="7A3C3375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個案教學研討</w:t>
            </w:r>
          </w:p>
          <w:p w14:paraId="728F0B95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lastRenderedPageBreak/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專題研究或實習</w:t>
            </w:r>
          </w:p>
          <w:p w14:paraId="74BC4B89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實作示範或演示</w:t>
            </w:r>
          </w:p>
          <w:p w14:paraId="76AAC313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期末報告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策展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發表</w:t>
            </w:r>
          </w:p>
          <w:p w14:paraId="100A96EF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配合專業軟體的使用與教學</w:t>
            </w:r>
          </w:p>
          <w:p w14:paraId="014CF903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配合使用數位教學平台(</w:t>
            </w:r>
            <w:proofErr w:type="spell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tMoodle</w:t>
            </w:r>
            <w:proofErr w:type="spellEnd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)、愛學網(</w:t>
            </w:r>
            <w:proofErr w:type="spell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iLearn</w:t>
            </w:r>
            <w:proofErr w:type="spellEnd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)</w:t>
            </w:r>
          </w:p>
          <w:p w14:paraId="00F9A5AF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其他：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(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限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100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中文字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)</w:t>
            </w:r>
          </w:p>
        </w:tc>
      </w:tr>
      <w:tr w:rsidR="007A7345" w14:paraId="2010FDF6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A175" w14:textId="77777777" w:rsidR="007A7345" w:rsidRDefault="00000000">
            <w:pPr>
              <w:widowControl/>
              <w:spacing w:line="360" w:lineRule="exact"/>
            </w:pPr>
            <w:proofErr w:type="gram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lastRenderedPageBreak/>
              <w:t>■  主要參考書籍</w:t>
            </w:r>
            <w:proofErr w:type="gramEnd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/資料 (Textbooks and References) 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Cs w:val="24"/>
              </w:rPr>
              <w:t>(教科書遵守智慧財產權觀念不得非法影印)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</w:r>
          </w:p>
        </w:tc>
      </w:tr>
      <w:tr w:rsidR="007A7345" w14:paraId="0EB379D5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9BDC" w14:textId="77777777" w:rsidR="007A7345" w:rsidRDefault="00000000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本課程是否有使用原文書</w:t>
            </w:r>
            <w:proofErr w:type="gramEnd"/>
          </w:p>
          <w:p w14:paraId="57C72A6D" w14:textId="77777777" w:rsidR="007A7345" w:rsidRDefault="00000000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 是　□否</w:t>
            </w:r>
          </w:p>
        </w:tc>
      </w:tr>
      <w:tr w:rsidR="007A7345" w14:paraId="6CD6A190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98E1" w14:textId="77777777" w:rsidR="007A7345" w:rsidRDefault="00000000">
            <w:pPr>
              <w:widowControl/>
              <w:spacing w:line="360" w:lineRule="exact"/>
            </w:pPr>
            <w:proofErr w:type="gramStart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教學進度</w:t>
            </w:r>
            <w:proofErr w:type="gramEnd"/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(Course Schedule) - 18週次(Weeks)</w:t>
            </w:r>
          </w:p>
        </w:tc>
      </w:tr>
      <w:tr w:rsidR="007A7345" w14:paraId="6FC838FB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0980" w14:textId="77777777" w:rsidR="007A7345" w:rsidRDefault="00000000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週次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Week</w:t>
            </w: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3477" w14:textId="77777777" w:rsidR="007A7345" w:rsidRDefault="00000000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日期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Date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7F36" w14:textId="77777777" w:rsidR="007A7345" w:rsidRDefault="00000000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內容主題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Course Topics and Contents</w:t>
            </w:r>
          </w:p>
        </w:tc>
      </w:tr>
      <w:tr w:rsidR="007A7345" w14:paraId="768DF7AA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EF3D" w14:textId="77777777" w:rsidR="007A7345" w:rsidRDefault="007A7345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F351" w14:textId="77777777" w:rsidR="007A7345" w:rsidRDefault="007A7345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4384" w14:textId="77777777" w:rsidR="007A7345" w:rsidRDefault="00000000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指定閱讀資料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Course Reading Materials</w:t>
            </w:r>
          </w:p>
        </w:tc>
      </w:tr>
      <w:tr w:rsidR="00E328BC" w14:paraId="1B0FE4C9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375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8EF9" w14:textId="7B8CB739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09/14-09/20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DC64" w14:textId="6649BCBF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BC21D8E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C19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2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B8FD" w14:textId="605E0F80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09/21-09/27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C603" w14:textId="4E8848EE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A9F3824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C0D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3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62C1" w14:textId="13857CD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09/28-10/04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4281" w14:textId="5D62C32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B9243AB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786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4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9BAD" w14:textId="031307B2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10/05-10/11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30E2" w14:textId="30E59034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3D027FC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AA6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5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E1A5" w14:textId="0C1AE500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10/12-10/18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3655" w14:textId="71D9D6FB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EB65C30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9E8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6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77EE" w14:textId="7ECFE05B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10/19-10/25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C0B8" w14:textId="4D194EF3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720AE2CA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755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7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F3D3" w14:textId="07DEEC1A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10/26-11/01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DD76" w14:textId="5EF68C2E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275FA61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40F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8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2436" w14:textId="0E145F1D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11/02-11/08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EA1B" w14:textId="336C9AA0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39C899F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3CA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9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64DF" w14:textId="3E91A1D1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11/09-11/15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C489" w14:textId="6874C4C3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0559C04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680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10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01DA" w14:textId="73F9B74C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11/16-11/22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E735" w14:textId="62AD6878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EEFBBC1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356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11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4BC5" w14:textId="4DF9DFC9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11/23-11/29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8395" w14:textId="318DB88F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60C6AC8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9FA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12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6B0B" w14:textId="060B018F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11/30-12/06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4B81" w14:textId="24EE0E2F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E9C7B56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491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13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7177" w14:textId="6F476EC3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12/07-12/13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C836" w14:textId="5BA2D872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87C57C1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632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14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22B1" w14:textId="2271284D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12/14-12/20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B174" w14:textId="1156702C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B34672F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4BD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15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A6C9" w14:textId="6A23D661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12/21-12/27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2B49" w14:textId="3C1A0AE5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5C9F11B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63D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16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3348" w14:textId="7BE44138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12/28-01/03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1484" w14:textId="4E20D4E6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55C9F27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7AE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17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4DC0" w14:textId="7EA6F674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01/04-01/10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9F2E" w14:textId="5C944FFF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9DEBCF9" w14:textId="77777777">
        <w:tblPrEx>
          <w:tblCellMar>
            <w:top w:w="0" w:type="dxa"/>
            <w:bottom w:w="0" w:type="dxa"/>
          </w:tblCellMar>
        </w:tblPrEx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3CF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18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8022" w14:textId="303CC1D9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01/11-01/17</w:t>
            </w:r>
          </w:p>
        </w:tc>
        <w:tc>
          <w:tcPr>
            <w:tcW w:w="6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7F3B" w14:textId="40CDDEAD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7F3041D6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5B52" w14:textId="77777777" w:rsidR="00E328BC" w:rsidRDefault="00E328BC" w:rsidP="00E328BC">
            <w:pPr>
              <w:widowControl/>
              <w:spacing w:line="360" w:lineRule="exact"/>
            </w:pPr>
            <w:proofErr w:type="gramStart"/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■  評分方式</w:t>
            </w:r>
            <w:proofErr w:type="gramEnd"/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 (Grading Policy)</w:t>
            </w:r>
          </w:p>
        </w:tc>
      </w:tr>
      <w:tr w:rsidR="00E328BC" w14:paraId="2740D828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A1E7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222A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t>評分項目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Assessment Item</w:t>
            </w: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79DA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t>配分比例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Percentage</w:t>
            </w:r>
          </w:p>
        </w:tc>
        <w:tc>
          <w:tcPr>
            <w:tcW w:w="2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7CCE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t>相關說明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Description</w:t>
            </w:r>
          </w:p>
        </w:tc>
      </w:tr>
      <w:tr w:rsidR="00E328BC" w14:paraId="557972BB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50E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2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3D48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AFC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16C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E328BC" w14:paraId="7DD23F4F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458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2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29F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139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80E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E328BC" w14:paraId="4B54B389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C3A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2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53D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B3E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795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E328BC" w14:paraId="2C6F40FA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64F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2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20AF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96B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CCB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E328BC" w14:paraId="39A737E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8F03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課程其他要求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（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Other Requirements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  <w:t>）</w:t>
            </w:r>
          </w:p>
        </w:tc>
      </w:tr>
      <w:tr w:rsidR="00E328BC" w14:paraId="557C3270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CCF8" w14:textId="77777777" w:rsidR="00E328BC" w:rsidRDefault="00E328BC" w:rsidP="00E328BC">
            <w:pPr>
              <w:widowControl/>
              <w:spacing w:line="360" w:lineRule="exact"/>
            </w:pPr>
            <w:proofErr w:type="gramStart"/>
            <w:r>
              <w:rPr>
                <w:rFonts w:ascii="微軟正黑體" w:eastAsia="微軟正黑體" w:hAnsi="微軟正黑體"/>
                <w:b/>
                <w:color w:val="333333"/>
                <w:kern w:val="0"/>
                <w:szCs w:val="24"/>
              </w:rPr>
              <w:t>■  本課程具有如下意涵</w:t>
            </w:r>
            <w:proofErr w:type="gramEnd"/>
            <w:r>
              <w:rPr>
                <w:rFonts w:ascii="微軟正黑體" w:eastAsia="微軟正黑體" w:hAnsi="微軟正黑體"/>
                <w:b/>
                <w:color w:val="333333"/>
                <w:kern w:val="0"/>
                <w:szCs w:val="24"/>
              </w:rPr>
              <w:t>：</w:t>
            </w:r>
          </w:p>
        </w:tc>
      </w:tr>
      <w:tr w:rsidR="00E328BC" w14:paraId="1E13560A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E58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3D8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課程意涵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F55A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E328BC" w14:paraId="7F661129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770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26A1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服務學習Service Learning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B538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4FC4969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60B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2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E1AF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生涯規劃Career Planning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DFE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21AB8B7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117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3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F7A4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性別平等教育Gender Equality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40B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313791E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2C5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4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8946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人權教育Human Rights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3ED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77248C1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5FA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5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1E6C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保護智慧財產權Protection of Intellectual Property Rights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FB2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2385188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231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  <w:lang w:eastAsia="zh-TW"/>
              </w:rPr>
              <w:t>6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2F9E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藝術與美感教育Art and Aesthetic Education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949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175F17E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A9F8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  <w:lang w:eastAsia="zh-TW"/>
              </w:rPr>
              <w:t>7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797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健康醫療照護Health and Medical Caring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ACD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C9DF4CE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5C9F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  <w:lang w:eastAsia="zh-TW"/>
              </w:rPr>
              <w:t>8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FE2E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生命教育Life Education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E9F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2CDEFC1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6166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  <w:lang w:eastAsia="zh-TW"/>
              </w:rPr>
              <w:t>9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425F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食品安全Food Safety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18D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36208F4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9343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  <w:lang w:eastAsia="zh-TW"/>
              </w:rPr>
              <w:t>10</w:t>
            </w:r>
          </w:p>
        </w:tc>
        <w:tc>
          <w:tcPr>
            <w:tcW w:w="7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2424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環境教育Environmental Education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58C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8FE2C7C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69DB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■  本課程可做為學生職涯發展之準備Can this course prepare students for their career development</w:t>
            </w: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  <w:lang w:eastAsia="zh-TW"/>
              </w:rPr>
              <w:t>？</w:t>
            </w:r>
          </w:p>
          <w:p w14:paraId="252FE202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 是　□否</w:t>
            </w:r>
          </w:p>
        </w:tc>
      </w:tr>
      <w:tr w:rsidR="00E328BC" w14:paraId="2534D01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6F03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■  本課程</w:t>
            </w: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  <w:lang w:eastAsia="zh-TW"/>
              </w:rPr>
              <w:t>設計是否安排學生自主學習週次Does the course design incorporate self-learning weeks？</w:t>
            </w:r>
            <w:r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 </w:t>
            </w:r>
          </w:p>
          <w:p w14:paraId="5A987106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□ 是　□否</w:t>
            </w:r>
          </w:p>
        </w:tc>
      </w:tr>
      <w:tr w:rsidR="00E328BC" w14:paraId="0EB8FD2A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E52F" w14:textId="77777777" w:rsidR="00E328BC" w:rsidRDefault="00E328BC" w:rsidP="00E328BC">
            <w:pPr>
              <w:widowControl/>
              <w:spacing w:before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四、本課程內涵與全球永續發展目標之對應</w:t>
            </w:r>
          </w:p>
          <w:p w14:paraId="40A82C51" w14:textId="77777777" w:rsidR="00E328BC" w:rsidRDefault="00E328BC" w:rsidP="00E328BC">
            <w:pPr>
              <w:widowControl/>
              <w:spacing w:after="180" w:line="360" w:lineRule="exact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Correspondence between course content and SDGs</w:t>
            </w:r>
          </w:p>
        </w:tc>
      </w:tr>
      <w:tr w:rsidR="00E328BC" w14:paraId="14CDEA6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F0A6" w14:textId="77777777" w:rsidR="00E328BC" w:rsidRDefault="00E328BC" w:rsidP="00E328BC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F995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本課程內涵與全球永續發展目標之對應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 and SDGs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8478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E328BC" w14:paraId="1D7FE5E2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402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87CB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SDG1消除貧窮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No Poverty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25E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8BDBF33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CAF8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6AF4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SDG2消除飢餓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Zero Hunger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EAD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C3176EF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EED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0D8B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SDG3良好健康和福祉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Good Health and Well-being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59FF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9260205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8CD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AC30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SDG4優質教育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Quality Education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866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17E32DB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37EF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lastRenderedPageBreak/>
              <w:t>5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958E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SDG5性別平等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Gender Equality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383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867F4A4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EC5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1427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SDG6潔淨水與衛生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Clean Water and Sanitation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FA8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ADDDB3F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FFE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65CF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SDG7可負擔的潔淨能源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Affordable and Clean Energy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6E78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032902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B7B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80F6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SDG8尊嚴就業與經濟發展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Decent Work and Economic Growth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078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655C493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F40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76AE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SDG9產業創新與基礎設施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Industry, Innovation and Infrastructure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A54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37BC331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1A3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74A9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SDG10減少不平等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Reduced Inequalities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4D5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BA9A27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1EA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673A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SDG11永續城市與社區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Sustainable Cities and Communities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057F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375C16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8EF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A55E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SDG12負責任的消費與生產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Responsible Consumption and Production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DD9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B5198A4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5F8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0F4B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SDG13氣候行動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Climate Action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568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7E4123B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A15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9286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SDG14水下生命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Life below Water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16C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0CEB43A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FA2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030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SDG15陸域生命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Life on Land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773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81E15D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EBD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579E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SDG16和平正義與有力的制度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Peace, Justice and Strong Institutions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314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66EFBAC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9BC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878B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SDG17夥伴關係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Partnerships for the Goals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E6A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55094F5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F41" w14:textId="77777777" w:rsidR="00E328BC" w:rsidRDefault="00E328BC" w:rsidP="00E328BC">
            <w:pPr>
              <w:widowControl/>
              <w:spacing w:before="180" w:after="180" w:line="360" w:lineRule="exact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五、本課程內涵與學生核心素養之對應</w:t>
            </w: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course content and Core Literacy</w:t>
            </w:r>
          </w:p>
        </w:tc>
      </w:tr>
      <w:tr w:rsidR="00E328BC" w14:paraId="74A59616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322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D004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本課程內涵與學生核心素養之對應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 and Core Literacy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1F1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E328BC" w14:paraId="7ABB748E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B70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D305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專業宏通（Academic Excellence and Holistic Development）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33F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A77BF71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715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AC8F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批判思考（Critical Thinking）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CC4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24AF750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261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4575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溝通互動（Communication and Interaction）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7D6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48662F0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825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377D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尊重差異（Empathy and Respect for Differences）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9CF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39BEE5B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608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4F52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創意創新（Creation and Innovation）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D7A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8938CBF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B8C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9795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藝術涵養（Aesthetic Appreciation and Expression）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164F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503E806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502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EC89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數位素養（Digital Literacy）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28D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D21F9EA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E3D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17F3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永續思維（Sustainability Mindset）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C09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9B5CDB2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464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A59A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問題解決（Problem Solving）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F68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0B7FAA2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FD1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CDAC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跨域合作（Interdisciplinary Collaboration）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29A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3885473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E23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DE6E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社會關懷（Social Concerns）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6E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642481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AA0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7BF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全球素養（Global Competence）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65F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F8850A9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8894" w14:textId="77777777" w:rsidR="00E328BC" w:rsidRDefault="00E328BC" w:rsidP="00E328BC">
            <w:pPr>
              <w:widowControl/>
              <w:spacing w:before="180" w:after="180" w:line="360" w:lineRule="exact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六、課程內涵與學生核心能力之對應</w:t>
            </w: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Course Contents and Core Competency</w:t>
            </w:r>
          </w:p>
        </w:tc>
      </w:tr>
      <w:tr w:rsidR="00E328BC" w14:paraId="0B0355D9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346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lastRenderedPageBreak/>
              <w:t>序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C7BA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課程內涵與學生核心能力之對應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Contents and Core Competency&gt;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1DE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E328BC" w14:paraId="5508026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2B2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DE98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演奏(唱)、創作與音樂治療專業 Professional Training in Performance, Composition and Music Therapy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30E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85A6205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FB0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B1E0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音樂相關議題分析與研究 Music-Related Subject Study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6CE0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7BCF1D9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293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F7AD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音樂教學與應用 Music Teaching and Application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A4F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1BF0C9E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E24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A752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跨領域整合與團隊合作 Multidisciplinary Integration and Teamwork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DE9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758C79A0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C113" w14:textId="77777777" w:rsidR="00E328BC" w:rsidRDefault="00E328BC" w:rsidP="00E328BC">
            <w:pPr>
              <w:widowControl/>
              <w:spacing w:before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七、課程內涵與學生就業力之對應</w:t>
            </w:r>
          </w:p>
          <w:p w14:paraId="3D22A7CF" w14:textId="77777777" w:rsidR="00E328BC" w:rsidRDefault="00E328BC" w:rsidP="00E328BC">
            <w:pPr>
              <w:widowControl/>
              <w:spacing w:after="180" w:line="360" w:lineRule="exact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Correspondence Between Course Contents and Employability</w:t>
            </w:r>
          </w:p>
        </w:tc>
      </w:tr>
      <w:tr w:rsidR="00E328BC" w14:paraId="1C8932F2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EFA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BABF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課程內涵與學生就業力之對應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Contents and Employability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014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E328BC" w14:paraId="46FC2F25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2BF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18C4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學習意願強、可塑性高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EAF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56704C4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6C5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2865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穩定度與抗壓性高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60C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03BBC6A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B5C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A189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培養團隊合作或領導統御能力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EEC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6D3AFA1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D9E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E02F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專業知識與技術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5B8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D259E64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559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0168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具有發現、分析、解決問題能力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C92E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65848A9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0A0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05D1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具有國際觀與外語能力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D0D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337BF49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52D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B49C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具有創新創業能力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887C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65CD18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1CDF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908B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融會貫通能力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165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9E134B0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196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A42B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具有口語表達與人際溝通能力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C2FD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70A2CC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F01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BBDB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跨領域整合與多元適應能力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87D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64A3FCA3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801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3D4F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具有中/英文報告書寫能力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C27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78D4995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D5E8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CCD9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具有實作/實習或就業接軌能力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50B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4E3C0EA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AF7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8BD8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具有社會服務學習能力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B8B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194A45E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A8D3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7C00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具有邏輯運算思維能力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BB3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023B77F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61E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6D6D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培養數位科技應用能力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CEB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41EF6D3" w14:textId="77777777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5BA2" w14:textId="77777777" w:rsidR="00E328BC" w:rsidRDefault="00E328BC" w:rsidP="00E328BC">
            <w:pPr>
              <w:widowControl/>
              <w:spacing w:before="180" w:after="180" w:line="360" w:lineRule="exact"/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八、本課程與職業能力就業領域之對應</w:t>
            </w: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Professional Skills and Future Careers</w:t>
            </w:r>
          </w:p>
        </w:tc>
      </w:tr>
      <w:tr w:rsidR="00E328BC" w14:paraId="49BBEC22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AD2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B8D6" w14:textId="77777777" w:rsidR="00E328BC" w:rsidRDefault="00E328BC" w:rsidP="00E328BC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本課程與職業能力就業領域之對應</w:t>
            </w:r>
            <w:r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Professional Skills and Future Careers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A82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請打勾</w:t>
            </w:r>
          </w:p>
        </w:tc>
      </w:tr>
      <w:tr w:rsidR="00E328BC" w14:paraId="1E00CA31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B9E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CB4C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表演藝術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Performing Arts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0549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582F66E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794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F9C6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影視傳播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Film and Television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F32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714B20E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B1B4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14C5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教學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Teaching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7CE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51CEB06A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05B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A47B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醫療服務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Medical Services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02D0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33D8CC74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BDF6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lastRenderedPageBreak/>
              <w:t>5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259C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長期照護服務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Long-term Care services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C80F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3EC3C18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524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93AF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公共衛生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Public Health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804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433E83D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2F9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DF7C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個人照護服務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Personal Care Services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840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6165785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A8A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9E1A" w14:textId="77777777" w:rsidR="00E328BC" w:rsidRDefault="00E328BC" w:rsidP="00E328BC">
            <w:pPr>
              <w:widowControl/>
              <w:spacing w:line="360" w:lineRule="exact"/>
            </w:pPr>
            <w:proofErr w:type="gramStart"/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學前照護</w:t>
            </w:r>
            <w:proofErr w:type="gramEnd"/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及教育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Preschool Education and Care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3551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1FCBC34F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3CC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096C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心理諮詢服務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Psychological Counseling Service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2768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21E4F55B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715B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B115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行銷傳播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Marketing Communication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6A9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39FC7DC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5702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D559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人力資源管理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Human Resources Management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8735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E328BC" w14:paraId="0895E830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00F7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7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C67F" w14:textId="77777777" w:rsidR="00E328BC" w:rsidRDefault="00E328BC" w:rsidP="00E328BC">
            <w:pPr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健康產業及醫務管理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（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Health Industry and Healthcare Administration</w:t>
            </w:r>
            <w:r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  <w:lang w:eastAsia="zh-TW"/>
              </w:rPr>
              <w:t>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A38A" w14:textId="77777777" w:rsidR="00E328BC" w:rsidRDefault="00E328BC" w:rsidP="00E328B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</w:tbl>
    <w:p w14:paraId="79F920FF" w14:textId="77777777" w:rsidR="007A7345" w:rsidRDefault="007A7345">
      <w:pPr>
        <w:rPr>
          <w:rFonts w:ascii="Times New Roman" w:eastAsia="標楷體" w:hAnsi="Times New Roman"/>
          <w:bCs/>
          <w:color w:val="000000"/>
          <w:szCs w:val="24"/>
          <w:shd w:val="clear" w:color="auto" w:fill="FFFFFF"/>
          <w:lang w:eastAsia="zh-TW"/>
        </w:rPr>
      </w:pPr>
    </w:p>
    <w:sectPr w:rsidR="007A7345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10D0" w14:textId="77777777" w:rsidR="00571AA4" w:rsidRDefault="00571AA4">
      <w:r>
        <w:separator/>
      </w:r>
    </w:p>
  </w:endnote>
  <w:endnote w:type="continuationSeparator" w:id="0">
    <w:p w14:paraId="49A5FC37" w14:textId="77777777" w:rsidR="00571AA4" w:rsidRDefault="0057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B85B" w14:textId="77777777" w:rsidR="00571AA4" w:rsidRDefault="00571AA4">
      <w:r>
        <w:rPr>
          <w:color w:val="000000"/>
        </w:rPr>
        <w:separator/>
      </w:r>
    </w:p>
  </w:footnote>
  <w:footnote w:type="continuationSeparator" w:id="0">
    <w:p w14:paraId="65A1A3BA" w14:textId="77777777" w:rsidR="00571AA4" w:rsidRDefault="0057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7345"/>
    <w:rsid w:val="00427947"/>
    <w:rsid w:val="00571AA4"/>
    <w:rsid w:val="007A7345"/>
    <w:rsid w:val="00E328BC"/>
    <w:rsid w:val="00F0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80DE2"/>
  <w15:docId w15:val="{E6363CEA-FE3F-422C-83A1-398DCBCC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280" w:after="280"/>
    </w:pPr>
    <w:rPr>
      <w:rFonts w:ascii="新細明體" w:hAnsi="新細明體" w:cs="新細明體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Calibri" w:eastAsia="新細明體" w:hAnsi="Calibri" w:cs="Times New Roman"/>
      <w:kern w:val="3"/>
      <w:sz w:val="20"/>
      <w:szCs w:val="20"/>
      <w:lang w:eastAsia="ar-SA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Calibri" w:eastAsia="新細明體" w:hAnsi="Calibri" w:cs="Times New Roman"/>
      <w:kern w:val="3"/>
      <w:sz w:val="20"/>
      <w:szCs w:val="20"/>
      <w:lang w:eastAsia="ar-SA"/>
    </w:rPr>
  </w:style>
  <w:style w:type="character" w:styleId="a8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paragraph" w:styleId="a9">
    <w:name w:val="Body Text"/>
    <w:basedOn w:val="a"/>
    <w:pPr>
      <w:spacing w:after="120"/>
    </w:pPr>
  </w:style>
  <w:style w:type="character" w:customStyle="1" w:styleId="aa">
    <w:name w:val="本文 字元"/>
    <w:basedOn w:val="a0"/>
    <w:rPr>
      <w:kern w:val="3"/>
      <w:sz w:val="24"/>
      <w:szCs w:val="22"/>
      <w:lang w:eastAsia="ar-SA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kern w:val="3"/>
      <w:sz w:val="24"/>
      <w:szCs w:val="22"/>
      <w:lang w:eastAsia="ar-SA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b/>
      <w:bCs/>
      <w:kern w:val="3"/>
      <w:sz w:val="24"/>
      <w:szCs w:val="22"/>
      <w:lang w:eastAsia="ar-SA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Wilnn 洪意雯</cp:lastModifiedBy>
  <cp:revision>2</cp:revision>
  <cp:lastPrinted>2026-03-14T06:54:00Z</cp:lastPrinted>
  <dcterms:created xsi:type="dcterms:W3CDTF">2026-03-25T11:28:00Z</dcterms:created>
  <dcterms:modified xsi:type="dcterms:W3CDTF">2026-03-25T11:28:00Z</dcterms:modified>
</cp:coreProperties>
</file>